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F4FB7" w14:textId="77777777" w:rsidR="006F698A" w:rsidRDefault="006F698A" w:rsidP="006F698A">
      <w:pPr>
        <w:jc w:val="center"/>
      </w:pPr>
    </w:p>
    <w:p w14:paraId="5B81F679" w14:textId="77777777" w:rsidR="006F698A" w:rsidRPr="006F698A" w:rsidRDefault="006F698A" w:rsidP="006F698A">
      <w:pPr>
        <w:jc w:val="center"/>
        <w:rPr>
          <w:b/>
          <w:sz w:val="36"/>
          <w:u w:val="single"/>
        </w:rPr>
      </w:pPr>
    </w:p>
    <w:p w14:paraId="23D95561" w14:textId="77777777" w:rsidR="00E87FFC" w:rsidRPr="006F698A" w:rsidRDefault="000F36CF" w:rsidP="006F698A">
      <w:pPr>
        <w:jc w:val="center"/>
        <w:rPr>
          <w:b/>
          <w:sz w:val="36"/>
          <w:u w:val="single"/>
        </w:rPr>
      </w:pPr>
      <w:proofErr w:type="spellStart"/>
      <w:r w:rsidRPr="006F698A">
        <w:rPr>
          <w:b/>
          <w:sz w:val="36"/>
          <w:u w:val="single"/>
        </w:rPr>
        <w:t>Smithills</w:t>
      </w:r>
      <w:proofErr w:type="spellEnd"/>
      <w:r w:rsidRPr="006F698A">
        <w:rPr>
          <w:b/>
          <w:sz w:val="36"/>
          <w:u w:val="single"/>
        </w:rPr>
        <w:t xml:space="preserve"> School</w:t>
      </w:r>
    </w:p>
    <w:p w14:paraId="63AD2069" w14:textId="77777777" w:rsidR="006F698A" w:rsidRPr="006F698A" w:rsidRDefault="000F36CF" w:rsidP="006F698A">
      <w:pPr>
        <w:jc w:val="center"/>
        <w:rPr>
          <w:b/>
          <w:u w:val="single"/>
        </w:rPr>
      </w:pPr>
      <w:r w:rsidRPr="006F698A">
        <w:rPr>
          <w:b/>
          <w:u w:val="single"/>
        </w:rPr>
        <w:t>Roland Champion School Case Study</w:t>
      </w:r>
    </w:p>
    <w:p w14:paraId="03C14280" w14:textId="77777777" w:rsidR="006F698A" w:rsidRPr="006F698A" w:rsidRDefault="006F698A" w:rsidP="000F36CF">
      <w:pPr>
        <w:jc w:val="center"/>
        <w:rPr>
          <w:b/>
          <w:u w:val="single"/>
        </w:rPr>
      </w:pPr>
      <w:r w:rsidRPr="006F698A">
        <w:rPr>
          <w:b/>
          <w:u w:val="single"/>
        </w:rPr>
        <w:t>REAL TIME</w:t>
      </w:r>
    </w:p>
    <w:p w14:paraId="2820E0A0" w14:textId="77777777" w:rsidR="006F698A" w:rsidRDefault="006F698A" w:rsidP="000F36CF">
      <w:pPr>
        <w:rPr>
          <w:b/>
          <w:u w:val="single"/>
        </w:rPr>
      </w:pPr>
      <w:r>
        <w:rPr>
          <w:b/>
          <w:noProof/>
          <w:u w:val="single"/>
          <w:lang w:val="en-US"/>
        </w:rPr>
        <w:drawing>
          <wp:inline distT="0" distB="0" distL="0" distR="0" wp14:anchorId="24FF3E08" wp14:editId="6EFB9165">
            <wp:extent cx="5731510" cy="4281170"/>
            <wp:effectExtent l="0" t="0" r="254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s o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81170"/>
                    </a:xfrm>
                    <a:prstGeom prst="rect">
                      <a:avLst/>
                    </a:prstGeom>
                  </pic:spPr>
                </pic:pic>
              </a:graphicData>
            </a:graphic>
          </wp:inline>
        </w:drawing>
      </w:r>
    </w:p>
    <w:p w14:paraId="10560F7A" w14:textId="77777777" w:rsidR="0011058C" w:rsidRDefault="0011058C" w:rsidP="000F36CF">
      <w:pPr>
        <w:rPr>
          <w:b/>
          <w:u w:val="single"/>
        </w:rPr>
      </w:pPr>
    </w:p>
    <w:p w14:paraId="509C7B62" w14:textId="77777777" w:rsidR="000F36CF" w:rsidRDefault="000F36CF" w:rsidP="000F36CF">
      <w:pPr>
        <w:rPr>
          <w:b/>
          <w:u w:val="single"/>
        </w:rPr>
      </w:pPr>
      <w:r w:rsidRPr="006F698A">
        <w:rPr>
          <w:b/>
          <w:u w:val="single"/>
        </w:rPr>
        <w:t>Contextual Description of the School and Faculty</w:t>
      </w:r>
    </w:p>
    <w:p w14:paraId="1E36440F" w14:textId="77777777" w:rsidR="006F698A" w:rsidRPr="006F698A" w:rsidRDefault="006F698A" w:rsidP="000F36CF">
      <w:pPr>
        <w:rPr>
          <w:b/>
          <w:u w:val="single"/>
        </w:rPr>
      </w:pPr>
    </w:p>
    <w:p w14:paraId="22DDA4AE" w14:textId="77777777" w:rsidR="000F36CF" w:rsidRDefault="000F36CF" w:rsidP="000F36CF">
      <w:pPr>
        <w:jc w:val="both"/>
      </w:pPr>
      <w:r w:rsidRPr="000F36CF">
        <w:t>The Performing Arts Faculty comprises of eleven members of staff, four of whom are peripatetic Music teachers and one who is t</w:t>
      </w:r>
      <w:r>
        <w:t xml:space="preserve">he Performing Arts Technician. </w:t>
      </w:r>
      <w:r w:rsidRPr="000F36CF">
        <w:t xml:space="preserve"> </w:t>
      </w:r>
      <w:r>
        <w:t>This</w:t>
      </w:r>
      <w:r w:rsidRPr="000F36CF">
        <w:t xml:space="preserve"> brings a richly varied range of subject knowledge as well as teaching and learning expertise including: specialised knowledge from industry, education and teaching; ICT expertise; Performing Arts teaching and English specialists.  The varied teaching backgrounds within the faculty are positive in terms of development of the delivery of the subjects and also in terms of staff development.  Each is able to give support and mentoring to each other and to other colleagues across the school.  Behaviour within the faculty is of a very high standard, evidenced by the nominal referrals.  A major focus of the faculty is </w:t>
      </w:r>
      <w:r w:rsidRPr="000F36CF">
        <w:lastRenderedPageBreak/>
        <w:t>collaborative learning and pupil voice.  Discussions take place in lessons and schemes of learning are evaluated at the end</w:t>
      </w:r>
      <w:r w:rsidRPr="000F36CF">
        <w:rPr>
          <w:b/>
        </w:rPr>
        <w:t xml:space="preserve"> </w:t>
      </w:r>
      <w:r w:rsidRPr="000F36CF">
        <w:t>of topics.  Students are encouraged to develop their life skills and talent in a safe and supportive environment.  We incorporate and encourage independent thinking and personal learning at KS3 and KS4.  The Music department is superbly equipped with two ICT classrooms and one band room, two practice rooms and a recording studio</w:t>
      </w:r>
      <w:r>
        <w:t>.</w:t>
      </w:r>
      <w:r w:rsidRPr="000F36CF">
        <w:t xml:space="preserve"> In Year 7 and 8, all students receive one discreet hour of Dance, Music. Drama is currently only being taught in year 7, 9 and 10. Performing Arts subjects, including Media, are offered as a GCSE option where students receive two/three specialist hours per week.  A key feature and strength of the faculty is its’ internationally recognised extra-curricular provision. Students have the opportunity to be involved in: Dance theatre trips, (including New York Dance Trips 2010 and 2012), Drama theatre trips, Competitions and Events to represent school on a national and international level, School Choir, Brass and Concert Band (multiple World and National Champions), Big Band (multiple National Champions), String Orchestra and Rock Bands.  Students are given opportunities to perform at major venues such as The Albert Hall, Symphony Hall, The Lowry and The RNCM as well as performing in assemblies, Music Concerts, Drama Nights, Dance Shows, Fashion and Dance Shows, Open Evening, Awards Evening and Whole School Productions.  </w:t>
      </w:r>
      <w:r w:rsidR="00F636BB">
        <w:t>The</w:t>
      </w:r>
      <w:r w:rsidRPr="000F36CF">
        <w:t xml:space="preserve"> faculty is a major strength of the school in terms of teaching and learning and extra-curricular provision (Academic Excellence: Rich in Opportunity), and during the recent Ofsted inspection, all staff </w:t>
      </w:r>
      <w:proofErr w:type="gramStart"/>
      <w:r w:rsidRPr="000F36CF">
        <w:t>who</w:t>
      </w:r>
      <w:proofErr w:type="gramEnd"/>
      <w:r w:rsidRPr="000F36CF">
        <w:t xml:space="preserve"> were observed were graded as Outstanding.</w:t>
      </w:r>
    </w:p>
    <w:p w14:paraId="2C0367A7" w14:textId="77777777" w:rsidR="000F36CF" w:rsidRDefault="000F36CF" w:rsidP="000F36CF">
      <w:pPr>
        <w:jc w:val="both"/>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2455"/>
        <w:gridCol w:w="7183"/>
      </w:tblGrid>
      <w:tr w:rsidR="006F698A" w:rsidRPr="00F61FCD" w14:paraId="0AB9B41F" w14:textId="77777777" w:rsidTr="00F61FCD">
        <w:tc>
          <w:tcPr>
            <w:tcW w:w="2455" w:type="dxa"/>
            <w:tcBorders>
              <w:top w:val="single" w:sz="2" w:space="0" w:color="000000"/>
              <w:left w:val="single" w:sz="2" w:space="0" w:color="000000"/>
              <w:bottom w:val="single" w:sz="2" w:space="0" w:color="000000"/>
              <w:right w:val="single" w:sz="2" w:space="0" w:color="000000"/>
            </w:tcBorders>
            <w:shd w:val="clear" w:color="auto" w:fill="auto"/>
          </w:tcPr>
          <w:p w14:paraId="19AC2D3D" w14:textId="77777777" w:rsidR="006F698A" w:rsidRPr="00F61FCD" w:rsidRDefault="006F698A" w:rsidP="006F698A">
            <w:pPr>
              <w:pStyle w:val="TableContents"/>
              <w:snapToGrid w:val="0"/>
              <w:rPr>
                <w:rFonts w:asciiTheme="minorHAnsi" w:hAnsiTheme="minorHAnsi"/>
                <w:b/>
                <w:bCs/>
              </w:rPr>
            </w:pPr>
            <w:r w:rsidRPr="00F61FCD">
              <w:rPr>
                <w:rFonts w:asciiTheme="minorHAnsi" w:hAnsiTheme="minorHAnsi"/>
                <w:b/>
                <w:bCs/>
              </w:rPr>
              <w:t>Project Title</w:t>
            </w:r>
          </w:p>
        </w:tc>
        <w:tc>
          <w:tcPr>
            <w:tcW w:w="7183" w:type="dxa"/>
            <w:tcBorders>
              <w:top w:val="single" w:sz="2" w:space="0" w:color="000000"/>
              <w:left w:val="single" w:sz="2" w:space="0" w:color="000000"/>
              <w:bottom w:val="single" w:sz="2" w:space="0" w:color="000000"/>
              <w:right w:val="single" w:sz="2" w:space="0" w:color="000000"/>
            </w:tcBorders>
            <w:shd w:val="clear" w:color="auto" w:fill="auto"/>
          </w:tcPr>
          <w:p w14:paraId="7D504025" w14:textId="77777777" w:rsidR="006F698A" w:rsidRPr="00F61FCD" w:rsidRDefault="006F698A" w:rsidP="006F698A">
            <w:pPr>
              <w:pStyle w:val="TableContents"/>
              <w:snapToGrid w:val="0"/>
              <w:rPr>
                <w:rFonts w:asciiTheme="minorHAnsi" w:hAnsiTheme="minorHAnsi"/>
                <w:iCs/>
              </w:rPr>
            </w:pPr>
            <w:r w:rsidRPr="00F61FCD">
              <w:rPr>
                <w:rFonts w:asciiTheme="minorHAnsi" w:hAnsiTheme="minorHAnsi"/>
                <w:iCs/>
              </w:rPr>
              <w:t>Real Time</w:t>
            </w:r>
          </w:p>
        </w:tc>
      </w:tr>
      <w:tr w:rsidR="006F698A" w:rsidRPr="00F61FCD" w14:paraId="2A92280C" w14:textId="77777777" w:rsidTr="00F61FCD">
        <w:tc>
          <w:tcPr>
            <w:tcW w:w="2455" w:type="dxa"/>
            <w:tcBorders>
              <w:top w:val="single" w:sz="2" w:space="0" w:color="000000"/>
              <w:left w:val="single" w:sz="1" w:space="0" w:color="000000"/>
              <w:bottom w:val="single" w:sz="1" w:space="0" w:color="000000"/>
            </w:tcBorders>
            <w:shd w:val="clear" w:color="auto" w:fill="auto"/>
          </w:tcPr>
          <w:p w14:paraId="113FB34D" w14:textId="77777777" w:rsidR="006F698A" w:rsidRPr="00F61FCD" w:rsidRDefault="006F698A" w:rsidP="006F698A">
            <w:pPr>
              <w:pStyle w:val="TableContents"/>
              <w:snapToGrid w:val="0"/>
              <w:rPr>
                <w:rFonts w:asciiTheme="minorHAnsi" w:hAnsiTheme="minorHAnsi"/>
                <w:b/>
                <w:bCs/>
                <w:sz w:val="22"/>
              </w:rPr>
            </w:pPr>
            <w:r w:rsidRPr="00F61FCD">
              <w:rPr>
                <w:rFonts w:asciiTheme="minorHAnsi" w:hAnsiTheme="minorHAnsi"/>
                <w:b/>
                <w:bCs/>
                <w:sz w:val="22"/>
              </w:rPr>
              <w:t>Year Group</w:t>
            </w:r>
          </w:p>
        </w:tc>
        <w:tc>
          <w:tcPr>
            <w:tcW w:w="7183" w:type="dxa"/>
            <w:tcBorders>
              <w:top w:val="single" w:sz="2" w:space="0" w:color="000000"/>
              <w:left w:val="single" w:sz="1" w:space="0" w:color="000000"/>
              <w:bottom w:val="single" w:sz="1" w:space="0" w:color="000000"/>
              <w:right w:val="single" w:sz="1" w:space="0" w:color="000000"/>
            </w:tcBorders>
            <w:shd w:val="clear" w:color="auto" w:fill="auto"/>
          </w:tcPr>
          <w:p w14:paraId="53CE40A0" w14:textId="77777777" w:rsidR="006F698A" w:rsidRPr="00F61FCD" w:rsidRDefault="006F698A" w:rsidP="006F698A">
            <w:pPr>
              <w:pStyle w:val="TableContents"/>
              <w:snapToGrid w:val="0"/>
              <w:rPr>
                <w:rFonts w:asciiTheme="minorHAnsi" w:hAnsiTheme="minorHAnsi"/>
                <w:iCs/>
                <w:sz w:val="22"/>
              </w:rPr>
            </w:pPr>
            <w:r w:rsidRPr="00F61FCD">
              <w:rPr>
                <w:rFonts w:asciiTheme="minorHAnsi" w:hAnsiTheme="minorHAnsi"/>
                <w:iCs/>
                <w:sz w:val="22"/>
              </w:rPr>
              <w:t xml:space="preserve">Key Stage 3 Year 8. </w:t>
            </w:r>
          </w:p>
        </w:tc>
      </w:tr>
      <w:tr w:rsidR="006F698A" w:rsidRPr="00F61FCD" w14:paraId="3A60733E" w14:textId="77777777" w:rsidTr="00F61FCD">
        <w:tc>
          <w:tcPr>
            <w:tcW w:w="2455" w:type="dxa"/>
            <w:tcBorders>
              <w:left w:val="single" w:sz="1" w:space="0" w:color="000000"/>
              <w:bottom w:val="single" w:sz="1" w:space="0" w:color="000000"/>
            </w:tcBorders>
            <w:shd w:val="clear" w:color="auto" w:fill="auto"/>
          </w:tcPr>
          <w:p w14:paraId="441719BE" w14:textId="77777777" w:rsidR="006F698A" w:rsidRPr="00F61FCD" w:rsidRDefault="006F698A" w:rsidP="006F698A">
            <w:pPr>
              <w:pStyle w:val="TableContents"/>
              <w:snapToGrid w:val="0"/>
              <w:rPr>
                <w:rFonts w:asciiTheme="minorHAnsi" w:hAnsiTheme="minorHAnsi"/>
                <w:b/>
                <w:bCs/>
                <w:sz w:val="22"/>
              </w:rPr>
            </w:pPr>
            <w:r w:rsidRPr="00F61FCD">
              <w:rPr>
                <w:rFonts w:asciiTheme="minorHAnsi" w:hAnsiTheme="minorHAnsi"/>
                <w:b/>
                <w:bCs/>
                <w:sz w:val="22"/>
              </w:rPr>
              <w:t>Key Aim</w:t>
            </w:r>
          </w:p>
        </w:tc>
        <w:tc>
          <w:tcPr>
            <w:tcW w:w="7183" w:type="dxa"/>
            <w:tcBorders>
              <w:left w:val="single" w:sz="1" w:space="0" w:color="000000"/>
              <w:bottom w:val="single" w:sz="1" w:space="0" w:color="000000"/>
              <w:right w:val="single" w:sz="1" w:space="0" w:color="000000"/>
            </w:tcBorders>
            <w:shd w:val="clear" w:color="auto" w:fill="auto"/>
          </w:tcPr>
          <w:p w14:paraId="45436F81" w14:textId="77777777" w:rsidR="006F698A" w:rsidRPr="00F61FCD" w:rsidRDefault="006F698A" w:rsidP="006F698A">
            <w:pPr>
              <w:pStyle w:val="TableContents"/>
              <w:rPr>
                <w:rFonts w:asciiTheme="minorHAnsi" w:hAnsiTheme="minorHAnsi"/>
                <w:iCs/>
                <w:sz w:val="22"/>
              </w:rPr>
            </w:pPr>
            <w:r w:rsidRPr="00F61FCD">
              <w:rPr>
                <w:rFonts w:asciiTheme="minorHAnsi" w:hAnsiTheme="minorHAnsi"/>
                <w:iCs/>
                <w:sz w:val="22"/>
              </w:rPr>
              <w:t>Engaging boys in the AFL process, developing critical thinking and evaluative skills.</w:t>
            </w:r>
          </w:p>
          <w:p w14:paraId="47198DC4" w14:textId="77777777" w:rsidR="006F698A" w:rsidRPr="00F61FCD" w:rsidRDefault="006F698A" w:rsidP="006F698A">
            <w:pPr>
              <w:pStyle w:val="TableContents"/>
              <w:rPr>
                <w:rFonts w:asciiTheme="minorHAnsi" w:hAnsiTheme="minorHAnsi"/>
                <w:i/>
                <w:iCs/>
                <w:sz w:val="22"/>
              </w:rPr>
            </w:pPr>
          </w:p>
        </w:tc>
      </w:tr>
      <w:tr w:rsidR="006F698A" w:rsidRPr="00F61FCD" w14:paraId="0AFE1110" w14:textId="77777777" w:rsidTr="00F61FCD">
        <w:tc>
          <w:tcPr>
            <w:tcW w:w="2455" w:type="dxa"/>
            <w:tcBorders>
              <w:left w:val="single" w:sz="1" w:space="0" w:color="000000"/>
              <w:bottom w:val="single" w:sz="1" w:space="0" w:color="000000"/>
            </w:tcBorders>
            <w:shd w:val="clear" w:color="auto" w:fill="auto"/>
          </w:tcPr>
          <w:p w14:paraId="2131DF9A" w14:textId="77777777" w:rsidR="006F698A" w:rsidRPr="00F61FCD" w:rsidRDefault="006F698A" w:rsidP="006F698A">
            <w:pPr>
              <w:pStyle w:val="TableContents"/>
              <w:snapToGrid w:val="0"/>
              <w:rPr>
                <w:rFonts w:asciiTheme="minorHAnsi" w:hAnsiTheme="minorHAnsi"/>
                <w:b/>
                <w:bCs/>
                <w:sz w:val="22"/>
              </w:rPr>
            </w:pPr>
            <w:r w:rsidRPr="00F61FCD">
              <w:rPr>
                <w:rFonts w:asciiTheme="minorHAnsi" w:hAnsiTheme="minorHAnsi"/>
                <w:b/>
                <w:bCs/>
                <w:sz w:val="22"/>
              </w:rPr>
              <w:t>Featured Roland Technology</w:t>
            </w:r>
          </w:p>
        </w:tc>
        <w:tc>
          <w:tcPr>
            <w:tcW w:w="7183" w:type="dxa"/>
            <w:tcBorders>
              <w:left w:val="single" w:sz="1" w:space="0" w:color="000000"/>
              <w:bottom w:val="single" w:sz="1" w:space="0" w:color="000000"/>
              <w:right w:val="single" w:sz="1" w:space="0" w:color="000000"/>
            </w:tcBorders>
            <w:shd w:val="clear" w:color="auto" w:fill="auto"/>
          </w:tcPr>
          <w:p w14:paraId="115BD4C4" w14:textId="77777777" w:rsidR="006F698A" w:rsidRPr="00F61FCD" w:rsidRDefault="006F698A" w:rsidP="006F698A">
            <w:pPr>
              <w:pStyle w:val="TableContents"/>
              <w:snapToGrid w:val="0"/>
              <w:rPr>
                <w:rFonts w:asciiTheme="minorHAnsi" w:hAnsiTheme="minorHAnsi"/>
                <w:iCs/>
                <w:sz w:val="22"/>
              </w:rPr>
            </w:pPr>
            <w:r w:rsidRPr="00F61FCD">
              <w:rPr>
                <w:rFonts w:asciiTheme="minorHAnsi" w:hAnsiTheme="minorHAnsi"/>
                <w:iCs/>
                <w:sz w:val="22"/>
              </w:rPr>
              <w:t>Roland VR3 Audio Vision Mixer</w:t>
            </w:r>
          </w:p>
        </w:tc>
      </w:tr>
      <w:tr w:rsidR="006F698A" w:rsidRPr="00F61FCD" w14:paraId="058D221D" w14:textId="77777777" w:rsidTr="00F61FCD">
        <w:trPr>
          <w:trHeight w:val="1336"/>
        </w:trPr>
        <w:tc>
          <w:tcPr>
            <w:tcW w:w="2455" w:type="dxa"/>
            <w:tcBorders>
              <w:left w:val="single" w:sz="1" w:space="0" w:color="000000"/>
              <w:bottom w:val="single" w:sz="1" w:space="0" w:color="000000"/>
            </w:tcBorders>
            <w:shd w:val="clear" w:color="auto" w:fill="auto"/>
          </w:tcPr>
          <w:p w14:paraId="4FE14C95" w14:textId="77777777" w:rsidR="006F698A" w:rsidRPr="00F61FCD" w:rsidRDefault="006F698A" w:rsidP="006F698A">
            <w:pPr>
              <w:pStyle w:val="TableContents"/>
              <w:snapToGrid w:val="0"/>
              <w:rPr>
                <w:rFonts w:asciiTheme="minorHAnsi" w:hAnsiTheme="minorHAnsi"/>
                <w:b/>
                <w:bCs/>
                <w:sz w:val="22"/>
              </w:rPr>
            </w:pPr>
            <w:r w:rsidRPr="00F61FCD">
              <w:rPr>
                <w:rFonts w:asciiTheme="minorHAnsi" w:hAnsiTheme="minorHAnsi"/>
                <w:b/>
                <w:bCs/>
                <w:sz w:val="22"/>
              </w:rPr>
              <w:t>Description</w:t>
            </w:r>
          </w:p>
        </w:tc>
        <w:tc>
          <w:tcPr>
            <w:tcW w:w="7183" w:type="dxa"/>
            <w:tcBorders>
              <w:left w:val="single" w:sz="1" w:space="0" w:color="000000"/>
              <w:bottom w:val="single" w:sz="1" w:space="0" w:color="000000"/>
              <w:right w:val="single" w:sz="1" w:space="0" w:color="000000"/>
            </w:tcBorders>
            <w:shd w:val="clear" w:color="auto" w:fill="auto"/>
          </w:tcPr>
          <w:p w14:paraId="1143CBB2" w14:textId="77777777" w:rsidR="006F698A" w:rsidRPr="00F61FCD" w:rsidRDefault="006F698A" w:rsidP="006F698A">
            <w:pPr>
              <w:pStyle w:val="TableContents"/>
              <w:snapToGrid w:val="0"/>
              <w:rPr>
                <w:rFonts w:asciiTheme="minorHAnsi" w:hAnsiTheme="minorHAnsi"/>
                <w:iCs/>
                <w:sz w:val="22"/>
              </w:rPr>
            </w:pPr>
            <w:r w:rsidRPr="00F61FCD">
              <w:rPr>
                <w:rFonts w:asciiTheme="minorHAnsi" w:hAnsiTheme="minorHAnsi"/>
                <w:iCs/>
                <w:sz w:val="22"/>
              </w:rPr>
              <w:t xml:space="preserve">This project intended to embed new technologies and develop AFL strategies to encourage pupil progress, especially with an under achieving boys. These are issues that have been raised in the school’s recent Ofsted inspections. The project was based around the students being able to watch themselves back live and instantaneously to allow them to analyse their performances. </w:t>
            </w:r>
          </w:p>
          <w:p w14:paraId="70EA1DCA" w14:textId="77777777" w:rsidR="006F698A" w:rsidRPr="00F61FCD" w:rsidRDefault="006F698A" w:rsidP="006F698A">
            <w:pPr>
              <w:pStyle w:val="TableContents"/>
              <w:snapToGrid w:val="0"/>
              <w:rPr>
                <w:rFonts w:asciiTheme="minorHAnsi" w:hAnsiTheme="minorHAnsi"/>
                <w:iCs/>
                <w:sz w:val="22"/>
              </w:rPr>
            </w:pPr>
          </w:p>
          <w:p w14:paraId="6085BC13" w14:textId="77777777" w:rsidR="00F636BB" w:rsidRPr="00F61FCD" w:rsidRDefault="006F698A" w:rsidP="006F698A">
            <w:pPr>
              <w:pStyle w:val="TableContents"/>
              <w:snapToGrid w:val="0"/>
              <w:rPr>
                <w:rFonts w:asciiTheme="minorHAnsi" w:hAnsiTheme="minorHAnsi"/>
                <w:iCs/>
                <w:sz w:val="22"/>
              </w:rPr>
            </w:pPr>
            <w:r w:rsidRPr="00F61FCD">
              <w:rPr>
                <w:rFonts w:asciiTheme="minorHAnsi" w:hAnsiTheme="minorHAnsi"/>
                <w:iCs/>
                <w:sz w:val="22"/>
              </w:rPr>
              <w:t>During the project we</w:t>
            </w:r>
            <w:r w:rsidR="00F636BB" w:rsidRPr="00F61FCD">
              <w:rPr>
                <w:rFonts w:asciiTheme="minorHAnsi" w:hAnsiTheme="minorHAnsi"/>
                <w:iCs/>
                <w:sz w:val="22"/>
              </w:rPr>
              <w:t xml:space="preserve"> used the Roland VR3 Audio Vision Mixer and Green Screen technologies to engage Year 8 students. We started to make wide spread use of the Roland VR3 Audio Vision Mixer, during school productions, Drama and Dance Nights and Music Concerts. This was to greatly improve the quality of the AV used during these events. This was commented on by students, staff and other stakeholders to the school. </w:t>
            </w:r>
          </w:p>
        </w:tc>
      </w:tr>
      <w:tr w:rsidR="006F698A" w:rsidRPr="00F61FCD" w14:paraId="0DD76C96" w14:textId="77777777" w:rsidTr="00F61FCD">
        <w:tc>
          <w:tcPr>
            <w:tcW w:w="2455" w:type="dxa"/>
            <w:tcBorders>
              <w:left w:val="single" w:sz="1" w:space="0" w:color="000000"/>
              <w:bottom w:val="single" w:sz="1" w:space="0" w:color="000000"/>
            </w:tcBorders>
            <w:shd w:val="clear" w:color="auto" w:fill="auto"/>
          </w:tcPr>
          <w:p w14:paraId="126253A8" w14:textId="77777777" w:rsidR="006F698A" w:rsidRPr="00F61FCD" w:rsidRDefault="006F698A" w:rsidP="006F698A">
            <w:pPr>
              <w:pStyle w:val="TableContents"/>
              <w:snapToGrid w:val="0"/>
              <w:rPr>
                <w:rFonts w:asciiTheme="minorHAnsi" w:hAnsiTheme="minorHAnsi"/>
                <w:b/>
                <w:bCs/>
                <w:sz w:val="22"/>
              </w:rPr>
            </w:pPr>
            <w:r w:rsidRPr="00F61FCD">
              <w:rPr>
                <w:rFonts w:asciiTheme="minorHAnsi" w:hAnsiTheme="minorHAnsi"/>
                <w:b/>
                <w:bCs/>
                <w:sz w:val="22"/>
              </w:rPr>
              <w:t>Scheme of Work</w:t>
            </w:r>
          </w:p>
        </w:tc>
        <w:tc>
          <w:tcPr>
            <w:tcW w:w="7183" w:type="dxa"/>
            <w:tcBorders>
              <w:left w:val="single" w:sz="1" w:space="0" w:color="000000"/>
              <w:bottom w:val="single" w:sz="1" w:space="0" w:color="000000"/>
              <w:right w:val="single" w:sz="1" w:space="0" w:color="000000"/>
            </w:tcBorders>
            <w:shd w:val="clear" w:color="auto" w:fill="auto"/>
          </w:tcPr>
          <w:p w14:paraId="61301272" w14:textId="77777777" w:rsidR="006F698A" w:rsidRPr="00F61FCD" w:rsidRDefault="00662877" w:rsidP="006F698A">
            <w:pPr>
              <w:pStyle w:val="TableContents"/>
              <w:rPr>
                <w:rFonts w:asciiTheme="minorHAnsi" w:hAnsiTheme="minorHAnsi"/>
                <w:iCs/>
                <w:sz w:val="22"/>
              </w:rPr>
            </w:pPr>
            <w:r w:rsidRPr="00F61FCD">
              <w:rPr>
                <w:rFonts w:asciiTheme="minorHAnsi" w:hAnsiTheme="minorHAnsi"/>
                <w:iCs/>
                <w:sz w:val="22"/>
              </w:rPr>
              <w:t>POP MUSIC</w:t>
            </w:r>
          </w:p>
          <w:p w14:paraId="0C408505" w14:textId="77777777" w:rsidR="00F636BB" w:rsidRPr="00F61FCD" w:rsidRDefault="00F636BB" w:rsidP="006F698A">
            <w:pPr>
              <w:pStyle w:val="TableContents"/>
              <w:rPr>
                <w:rFonts w:asciiTheme="minorHAnsi" w:hAnsiTheme="minorHAnsi"/>
                <w:iCs/>
                <w:sz w:val="22"/>
              </w:rPr>
            </w:pPr>
          </w:p>
          <w:p w14:paraId="223BCFFC" w14:textId="77777777" w:rsidR="00F636BB" w:rsidRPr="00F61FCD" w:rsidRDefault="00F636BB" w:rsidP="006F698A">
            <w:pPr>
              <w:pStyle w:val="TableContents"/>
              <w:rPr>
                <w:rFonts w:asciiTheme="minorHAnsi" w:hAnsiTheme="minorHAnsi"/>
                <w:iCs/>
                <w:sz w:val="22"/>
              </w:rPr>
            </w:pPr>
            <w:r w:rsidRPr="00F61FCD">
              <w:rPr>
                <w:rFonts w:asciiTheme="minorHAnsi" w:hAnsiTheme="minorHAnsi"/>
                <w:iCs/>
                <w:sz w:val="22"/>
              </w:rPr>
              <w:t>During this scheme of work learners develop their performance skills. Lessons are sequence to give students basic instrumental techniques on guitar, keyboards and drum kit. Learner</w:t>
            </w:r>
            <w:r w:rsidR="00662877" w:rsidRPr="00F61FCD">
              <w:rPr>
                <w:rFonts w:asciiTheme="minorHAnsi" w:hAnsiTheme="minorHAnsi"/>
                <w:iCs/>
                <w:sz w:val="22"/>
              </w:rPr>
              <w:t>s</w:t>
            </w:r>
            <w:r w:rsidRPr="00F61FCD">
              <w:rPr>
                <w:rFonts w:asciiTheme="minorHAnsi" w:hAnsiTheme="minorHAnsi"/>
                <w:iCs/>
                <w:sz w:val="22"/>
              </w:rPr>
              <w:t xml:space="preserve"> develop an understanding of </w:t>
            </w:r>
            <w:r w:rsidR="00662877" w:rsidRPr="00F61FCD">
              <w:rPr>
                <w:rFonts w:asciiTheme="minorHAnsi" w:hAnsiTheme="minorHAnsi"/>
                <w:iCs/>
                <w:sz w:val="22"/>
              </w:rPr>
              <w:t xml:space="preserve">musical </w:t>
            </w:r>
            <w:r w:rsidR="00662877" w:rsidRPr="00F61FCD">
              <w:rPr>
                <w:rFonts w:asciiTheme="minorHAnsi" w:hAnsiTheme="minorHAnsi"/>
                <w:iCs/>
                <w:sz w:val="22"/>
              </w:rPr>
              <w:lastRenderedPageBreak/>
              <w:t>concepts of chords, chord sequence, ensemble, musical notation.</w:t>
            </w:r>
          </w:p>
          <w:p w14:paraId="6BA6AEBE" w14:textId="77777777" w:rsidR="00662877" w:rsidRPr="00F61FCD" w:rsidRDefault="00662877" w:rsidP="006F698A">
            <w:pPr>
              <w:pStyle w:val="TableContents"/>
              <w:rPr>
                <w:rFonts w:asciiTheme="minorHAnsi" w:hAnsiTheme="minorHAnsi"/>
                <w:iCs/>
                <w:sz w:val="22"/>
              </w:rPr>
            </w:pPr>
          </w:p>
          <w:p w14:paraId="748A91B3" w14:textId="77777777" w:rsidR="00662877" w:rsidRPr="00F61FCD" w:rsidRDefault="00662877" w:rsidP="006F698A">
            <w:pPr>
              <w:pStyle w:val="TableContents"/>
              <w:rPr>
                <w:rFonts w:asciiTheme="minorHAnsi" w:hAnsiTheme="minorHAnsi"/>
                <w:iCs/>
                <w:sz w:val="22"/>
              </w:rPr>
            </w:pPr>
            <w:r w:rsidRPr="00F61FCD">
              <w:rPr>
                <w:rFonts w:asciiTheme="minorHAnsi" w:hAnsiTheme="minorHAnsi"/>
                <w:iCs/>
                <w:sz w:val="22"/>
              </w:rPr>
              <w:t xml:space="preserve">At the start of the sequence of lessons, learners were introduced to the final assessment, that they would be making a music video.  We found that this gave the assessment a more realistic context. </w:t>
            </w:r>
            <w:r w:rsidR="009A4B9E" w:rsidRPr="00F61FCD">
              <w:rPr>
                <w:rFonts w:asciiTheme="minorHAnsi" w:hAnsiTheme="minorHAnsi"/>
                <w:iCs/>
                <w:sz w:val="22"/>
              </w:rPr>
              <w:t xml:space="preserve"> During the project recording and photographic evidence of the students practicing were taken. AFL strategies embedded throughout the scheme of work, learners were asked to set themselves achievable targets with the final recording in mind. </w:t>
            </w:r>
          </w:p>
          <w:p w14:paraId="030488C7" w14:textId="77777777" w:rsidR="00662877" w:rsidRPr="00F61FCD" w:rsidRDefault="00662877" w:rsidP="006F698A">
            <w:pPr>
              <w:pStyle w:val="TableContents"/>
              <w:rPr>
                <w:rFonts w:asciiTheme="minorHAnsi" w:hAnsiTheme="minorHAnsi"/>
                <w:iCs/>
                <w:sz w:val="22"/>
              </w:rPr>
            </w:pPr>
          </w:p>
          <w:p w14:paraId="5FFFDA70" w14:textId="77777777" w:rsidR="00F61FCD" w:rsidRPr="00F61FCD" w:rsidRDefault="00D06B41" w:rsidP="006F698A">
            <w:pPr>
              <w:pStyle w:val="TableContents"/>
              <w:rPr>
                <w:rFonts w:asciiTheme="minorHAnsi" w:hAnsiTheme="minorHAnsi"/>
                <w:iCs/>
                <w:sz w:val="22"/>
              </w:rPr>
            </w:pPr>
            <w:r w:rsidRPr="00F61FCD">
              <w:rPr>
                <w:rFonts w:asciiTheme="minorHAnsi" w:hAnsiTheme="minorHAnsi"/>
                <w:iCs/>
                <w:sz w:val="22"/>
              </w:rPr>
              <w:t>Students also work with the Performing Arts Techni</w:t>
            </w:r>
            <w:r w:rsidR="0011058C">
              <w:rPr>
                <w:rFonts w:asciiTheme="minorHAnsi" w:hAnsiTheme="minorHAnsi"/>
                <w:iCs/>
                <w:sz w:val="22"/>
              </w:rPr>
              <w:t>cian during the editing process</w:t>
            </w:r>
          </w:p>
          <w:p w14:paraId="756BD19B" w14:textId="77777777" w:rsidR="00F61FCD" w:rsidRPr="00F61FCD" w:rsidRDefault="00F61FCD" w:rsidP="006F698A">
            <w:pPr>
              <w:pStyle w:val="TableContents"/>
              <w:rPr>
                <w:rFonts w:asciiTheme="minorHAnsi" w:hAnsiTheme="minorHAnsi"/>
                <w:iCs/>
                <w:sz w:val="22"/>
              </w:rPr>
            </w:pPr>
          </w:p>
          <w:p w14:paraId="44550CC3" w14:textId="77777777" w:rsidR="00E25FAC" w:rsidRPr="00F61FCD" w:rsidRDefault="00E25FAC" w:rsidP="006F698A">
            <w:pPr>
              <w:pStyle w:val="TableContents"/>
              <w:rPr>
                <w:rFonts w:asciiTheme="minorHAnsi" w:hAnsiTheme="minorHAnsi"/>
                <w:iCs/>
                <w:sz w:val="22"/>
              </w:rPr>
            </w:pPr>
          </w:p>
        </w:tc>
      </w:tr>
      <w:tr w:rsidR="00F933DC" w:rsidRPr="00F61FCD" w14:paraId="16ED8060" w14:textId="77777777" w:rsidTr="00F61FCD">
        <w:tc>
          <w:tcPr>
            <w:tcW w:w="2455" w:type="dxa"/>
            <w:tcBorders>
              <w:left w:val="single" w:sz="1" w:space="0" w:color="000000"/>
              <w:bottom w:val="single" w:sz="1" w:space="0" w:color="000000"/>
            </w:tcBorders>
            <w:shd w:val="clear" w:color="auto" w:fill="auto"/>
          </w:tcPr>
          <w:p w14:paraId="1C6D5E82" w14:textId="77777777" w:rsidR="00F933DC" w:rsidRPr="00F61FCD" w:rsidRDefault="00F933DC" w:rsidP="006F698A">
            <w:pPr>
              <w:pStyle w:val="TableContents"/>
              <w:snapToGrid w:val="0"/>
              <w:rPr>
                <w:rFonts w:asciiTheme="minorHAnsi" w:hAnsiTheme="minorHAnsi"/>
                <w:noProof/>
                <w:sz w:val="22"/>
                <w:lang w:eastAsia="en-GB" w:bidi="ar-SA"/>
              </w:rPr>
            </w:pPr>
            <w:r w:rsidRPr="00F61FCD">
              <w:rPr>
                <w:rFonts w:asciiTheme="minorHAnsi" w:hAnsiTheme="minorHAnsi"/>
                <w:b/>
                <w:bCs/>
                <w:sz w:val="22"/>
              </w:rPr>
              <w:lastRenderedPageBreak/>
              <w:t>Sequence of Learning</w:t>
            </w:r>
          </w:p>
        </w:tc>
        <w:tc>
          <w:tcPr>
            <w:tcW w:w="7183" w:type="dxa"/>
            <w:tcBorders>
              <w:left w:val="single" w:sz="1" w:space="0" w:color="000000"/>
              <w:bottom w:val="single" w:sz="1" w:space="0" w:color="000000"/>
              <w:right w:val="single" w:sz="1" w:space="0" w:color="000000"/>
            </w:tcBorders>
            <w:shd w:val="clear" w:color="auto" w:fill="auto"/>
          </w:tcPr>
          <w:p w14:paraId="2ACF548E" w14:textId="77777777" w:rsidR="00F933DC" w:rsidRPr="00F61FCD" w:rsidRDefault="00F933DC" w:rsidP="006F698A">
            <w:pPr>
              <w:pStyle w:val="TableContents"/>
              <w:rPr>
                <w:rFonts w:asciiTheme="minorHAnsi" w:hAnsiTheme="minorHAnsi"/>
                <w:b/>
                <w:iCs/>
                <w:sz w:val="22"/>
              </w:rPr>
            </w:pPr>
            <w:r w:rsidRPr="00F61FCD">
              <w:rPr>
                <w:rFonts w:asciiTheme="minorHAnsi" w:hAnsiTheme="minorHAnsi"/>
                <w:b/>
                <w:iCs/>
                <w:sz w:val="22"/>
              </w:rPr>
              <w:t xml:space="preserve">Lesson 1- </w:t>
            </w:r>
          </w:p>
          <w:p w14:paraId="6EEB8F52"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Learning Objective- To develop an understanding of the key terms of Chords and Chord Sequence.</w:t>
            </w:r>
          </w:p>
          <w:p w14:paraId="5DE61E6B"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Success Criteria- To perform using the 4 Chord Trick</w:t>
            </w:r>
          </w:p>
          <w:p w14:paraId="6029E2C9" w14:textId="77777777" w:rsidR="00F933DC" w:rsidRPr="00F61FCD" w:rsidRDefault="00F933DC" w:rsidP="006F698A">
            <w:pPr>
              <w:pStyle w:val="TableContents"/>
              <w:rPr>
                <w:rFonts w:asciiTheme="minorHAnsi" w:hAnsiTheme="minorHAnsi"/>
                <w:iCs/>
                <w:sz w:val="22"/>
              </w:rPr>
            </w:pPr>
          </w:p>
          <w:p w14:paraId="41EE12C9"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 xml:space="preserve">Students watch the YouTube Clip- The 4 Chord Trick, identifying the song that used the </w:t>
            </w:r>
            <w:proofErr w:type="gramStart"/>
            <w:r w:rsidRPr="00F61FCD">
              <w:rPr>
                <w:rFonts w:asciiTheme="minorHAnsi" w:hAnsiTheme="minorHAnsi"/>
                <w:iCs/>
                <w:sz w:val="22"/>
              </w:rPr>
              <w:t>4 chord</w:t>
            </w:r>
            <w:proofErr w:type="gramEnd"/>
            <w:r w:rsidRPr="00F61FCD">
              <w:rPr>
                <w:rFonts w:asciiTheme="minorHAnsi" w:hAnsiTheme="minorHAnsi"/>
                <w:iCs/>
                <w:sz w:val="22"/>
              </w:rPr>
              <w:t xml:space="preserve"> sequence of I, V, VI, V. </w:t>
            </w:r>
            <w:r w:rsidR="00AB3C88" w:rsidRPr="00F61FCD">
              <w:rPr>
                <w:rFonts w:asciiTheme="minorHAnsi" w:hAnsiTheme="minorHAnsi"/>
                <w:iCs/>
                <w:sz w:val="22"/>
              </w:rPr>
              <w:t xml:space="preserve"> Students also introduced to the idea that they will be making a music video</w:t>
            </w:r>
            <w:r w:rsidR="00F61FCD">
              <w:rPr>
                <w:rFonts w:asciiTheme="minorHAnsi" w:hAnsiTheme="minorHAnsi"/>
                <w:iCs/>
                <w:sz w:val="22"/>
              </w:rPr>
              <w:t xml:space="preserve"> at the end of the topic</w:t>
            </w:r>
            <w:r w:rsidR="00AB3C88" w:rsidRPr="00F61FCD">
              <w:rPr>
                <w:rFonts w:asciiTheme="minorHAnsi" w:hAnsiTheme="minorHAnsi"/>
                <w:iCs/>
                <w:sz w:val="22"/>
              </w:rPr>
              <w:t>.</w:t>
            </w:r>
          </w:p>
          <w:p w14:paraId="655373B9" w14:textId="77777777" w:rsidR="00F933DC" w:rsidRPr="00F61FCD" w:rsidRDefault="00F933DC" w:rsidP="006F698A">
            <w:pPr>
              <w:pStyle w:val="TableContents"/>
              <w:rPr>
                <w:rFonts w:asciiTheme="minorHAnsi" w:hAnsiTheme="minorHAnsi"/>
                <w:iCs/>
                <w:sz w:val="22"/>
              </w:rPr>
            </w:pPr>
          </w:p>
          <w:p w14:paraId="4D8B5DB8"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 xml:space="preserve">Student then learnt the how to play the chords and decorate them. </w:t>
            </w:r>
          </w:p>
          <w:p w14:paraId="769729B1" w14:textId="77777777" w:rsidR="00F933DC" w:rsidRPr="00F61FCD" w:rsidRDefault="00F933DC" w:rsidP="006F698A">
            <w:pPr>
              <w:pStyle w:val="TableContents"/>
              <w:rPr>
                <w:rFonts w:asciiTheme="minorHAnsi" w:hAnsiTheme="minorHAnsi"/>
                <w:iCs/>
                <w:sz w:val="22"/>
              </w:rPr>
            </w:pPr>
          </w:p>
          <w:p w14:paraId="202760F1" w14:textId="77777777" w:rsidR="00F933DC" w:rsidRPr="00F61FCD" w:rsidRDefault="00F933DC" w:rsidP="006F698A">
            <w:pPr>
              <w:pStyle w:val="TableContents"/>
              <w:rPr>
                <w:rFonts w:asciiTheme="minorHAnsi" w:hAnsiTheme="minorHAnsi"/>
                <w:b/>
                <w:iCs/>
                <w:sz w:val="22"/>
              </w:rPr>
            </w:pPr>
            <w:r w:rsidRPr="00F61FCD">
              <w:rPr>
                <w:rFonts w:asciiTheme="minorHAnsi" w:hAnsiTheme="minorHAnsi"/>
                <w:b/>
                <w:iCs/>
                <w:sz w:val="22"/>
              </w:rPr>
              <w:t>Lesson 2</w:t>
            </w:r>
          </w:p>
          <w:p w14:paraId="21BEB7EC"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Learning  Objective- To understand how to read Tab Notation</w:t>
            </w:r>
          </w:p>
          <w:p w14:paraId="2CA29F51"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Success Criteria- To perform either The White Stripe’s ‘Seven Nation Army’ or Deep Purple’s ‘Smoke on the Water’.</w:t>
            </w:r>
          </w:p>
          <w:p w14:paraId="75C6C44F" w14:textId="77777777" w:rsidR="00F933DC" w:rsidRPr="00F61FCD" w:rsidRDefault="00F933DC" w:rsidP="006F698A">
            <w:pPr>
              <w:pStyle w:val="TableContents"/>
              <w:rPr>
                <w:rFonts w:asciiTheme="minorHAnsi" w:hAnsiTheme="minorHAnsi"/>
                <w:iCs/>
                <w:sz w:val="22"/>
              </w:rPr>
            </w:pPr>
          </w:p>
          <w:p w14:paraId="6565FB64" w14:textId="77777777" w:rsidR="00F933DC" w:rsidRPr="00F61FCD" w:rsidRDefault="00F933DC" w:rsidP="006F698A">
            <w:pPr>
              <w:pStyle w:val="TableContents"/>
              <w:rPr>
                <w:rFonts w:asciiTheme="minorHAnsi" w:hAnsiTheme="minorHAnsi"/>
                <w:b/>
                <w:iCs/>
                <w:sz w:val="22"/>
              </w:rPr>
            </w:pPr>
            <w:r w:rsidRPr="00F61FCD">
              <w:rPr>
                <w:rFonts w:asciiTheme="minorHAnsi" w:hAnsiTheme="minorHAnsi"/>
                <w:b/>
                <w:iCs/>
                <w:sz w:val="22"/>
              </w:rPr>
              <w:t>Lesson 3</w:t>
            </w:r>
          </w:p>
          <w:p w14:paraId="146A0C5D" w14:textId="77777777" w:rsidR="00F933DC" w:rsidRPr="00F61FCD" w:rsidRDefault="00F933DC" w:rsidP="006F698A">
            <w:pPr>
              <w:pStyle w:val="TableContents"/>
              <w:rPr>
                <w:rFonts w:asciiTheme="minorHAnsi" w:hAnsiTheme="minorHAnsi"/>
                <w:iCs/>
                <w:sz w:val="22"/>
              </w:rPr>
            </w:pPr>
            <w:r w:rsidRPr="00F61FCD">
              <w:rPr>
                <w:rFonts w:asciiTheme="minorHAnsi" w:hAnsiTheme="minorHAnsi"/>
                <w:iCs/>
                <w:sz w:val="22"/>
              </w:rPr>
              <w:t>Learning Objective</w:t>
            </w:r>
            <w:r w:rsidR="006D6B1C" w:rsidRPr="00F61FCD">
              <w:rPr>
                <w:rFonts w:asciiTheme="minorHAnsi" w:hAnsiTheme="minorHAnsi"/>
                <w:iCs/>
                <w:sz w:val="22"/>
              </w:rPr>
              <w:t>- To develop reading of Staff Notation and keyboard skills</w:t>
            </w:r>
          </w:p>
          <w:p w14:paraId="436907E1" w14:textId="77777777" w:rsidR="006D6B1C" w:rsidRPr="00F61FCD" w:rsidRDefault="006D6B1C" w:rsidP="006F698A">
            <w:pPr>
              <w:pStyle w:val="TableContents"/>
              <w:rPr>
                <w:rFonts w:asciiTheme="minorHAnsi" w:hAnsiTheme="minorHAnsi"/>
                <w:iCs/>
                <w:sz w:val="22"/>
              </w:rPr>
            </w:pPr>
            <w:r w:rsidRPr="00F61FCD">
              <w:rPr>
                <w:rFonts w:asciiTheme="minorHAnsi" w:hAnsiTheme="minorHAnsi"/>
                <w:iCs/>
                <w:sz w:val="22"/>
              </w:rPr>
              <w:t>Success Criteria- To perform Journey’s ‘Don’t Stop Believing</w:t>
            </w:r>
          </w:p>
          <w:p w14:paraId="2F601024" w14:textId="77777777" w:rsidR="006D6B1C" w:rsidRPr="00F61FCD" w:rsidRDefault="006D6B1C" w:rsidP="006F698A">
            <w:pPr>
              <w:pStyle w:val="TableContents"/>
              <w:rPr>
                <w:rFonts w:asciiTheme="minorHAnsi" w:hAnsiTheme="minorHAnsi"/>
                <w:iCs/>
                <w:sz w:val="22"/>
              </w:rPr>
            </w:pPr>
          </w:p>
          <w:p w14:paraId="135800E9" w14:textId="77777777" w:rsidR="006D6B1C" w:rsidRPr="00F61FCD" w:rsidRDefault="006D6B1C" w:rsidP="006F698A">
            <w:pPr>
              <w:pStyle w:val="TableContents"/>
              <w:rPr>
                <w:rFonts w:asciiTheme="minorHAnsi" w:hAnsiTheme="minorHAnsi"/>
                <w:b/>
                <w:iCs/>
                <w:sz w:val="22"/>
              </w:rPr>
            </w:pPr>
            <w:r w:rsidRPr="00F61FCD">
              <w:rPr>
                <w:rFonts w:asciiTheme="minorHAnsi" w:hAnsiTheme="minorHAnsi"/>
                <w:b/>
                <w:iCs/>
                <w:sz w:val="22"/>
              </w:rPr>
              <w:t>Lesson 4</w:t>
            </w:r>
          </w:p>
          <w:p w14:paraId="3227973A" w14:textId="77777777" w:rsidR="006D6B1C" w:rsidRPr="00F61FCD" w:rsidRDefault="006D6B1C" w:rsidP="006F698A">
            <w:pPr>
              <w:pStyle w:val="TableContents"/>
              <w:rPr>
                <w:rFonts w:asciiTheme="minorHAnsi" w:hAnsiTheme="minorHAnsi"/>
                <w:iCs/>
                <w:sz w:val="22"/>
              </w:rPr>
            </w:pPr>
            <w:r w:rsidRPr="00F61FCD">
              <w:rPr>
                <w:rFonts w:asciiTheme="minorHAnsi" w:hAnsiTheme="minorHAnsi"/>
                <w:iCs/>
                <w:sz w:val="22"/>
              </w:rPr>
              <w:t>Learning Objective- To develop ensemble skills</w:t>
            </w:r>
          </w:p>
          <w:p w14:paraId="33E168D5" w14:textId="77777777" w:rsidR="006D6B1C" w:rsidRPr="00F61FCD" w:rsidRDefault="006D6B1C" w:rsidP="006F698A">
            <w:pPr>
              <w:pStyle w:val="TableContents"/>
              <w:rPr>
                <w:rFonts w:asciiTheme="minorHAnsi" w:hAnsiTheme="minorHAnsi"/>
                <w:iCs/>
                <w:sz w:val="22"/>
              </w:rPr>
            </w:pPr>
            <w:r w:rsidRPr="00F61FCD">
              <w:rPr>
                <w:rFonts w:asciiTheme="minorHAnsi" w:hAnsiTheme="minorHAnsi"/>
                <w:iCs/>
                <w:sz w:val="22"/>
              </w:rPr>
              <w:t>Success Criteria- To form a band, which consist</w:t>
            </w:r>
            <w:r w:rsidR="00AB3C88" w:rsidRPr="00F61FCD">
              <w:rPr>
                <w:rFonts w:asciiTheme="minorHAnsi" w:hAnsiTheme="minorHAnsi"/>
                <w:iCs/>
                <w:sz w:val="22"/>
              </w:rPr>
              <w:t xml:space="preserve"> of guitar, keyboards, </w:t>
            </w:r>
            <w:r w:rsidRPr="00F61FCD">
              <w:rPr>
                <w:rFonts w:asciiTheme="minorHAnsi" w:hAnsiTheme="minorHAnsi"/>
                <w:iCs/>
                <w:sz w:val="22"/>
              </w:rPr>
              <w:t>a bass part and if students want a v</w:t>
            </w:r>
            <w:r w:rsidR="00AB3C88" w:rsidRPr="00F61FCD">
              <w:rPr>
                <w:rFonts w:asciiTheme="minorHAnsi" w:hAnsiTheme="minorHAnsi"/>
                <w:iCs/>
                <w:sz w:val="22"/>
              </w:rPr>
              <w:t xml:space="preserve">ocal line, to perform Journey’s ‘Don’t Stop Believing’. </w:t>
            </w:r>
            <w:r w:rsidRPr="00F61FCD">
              <w:rPr>
                <w:rFonts w:asciiTheme="minorHAnsi" w:hAnsiTheme="minorHAnsi"/>
                <w:iCs/>
                <w:sz w:val="22"/>
              </w:rPr>
              <w:t xml:space="preserve">Students are to then </w:t>
            </w:r>
            <w:r w:rsidR="00AB3C88" w:rsidRPr="00F61FCD">
              <w:rPr>
                <w:rFonts w:asciiTheme="minorHAnsi" w:hAnsiTheme="minorHAnsi"/>
                <w:iCs/>
                <w:sz w:val="22"/>
              </w:rPr>
              <w:t>set themselves an agenda to perform in music video in two lessons time.</w:t>
            </w:r>
          </w:p>
          <w:p w14:paraId="697F8845" w14:textId="77777777" w:rsidR="00AB3C88" w:rsidRPr="00F61FCD" w:rsidRDefault="00AB3C88" w:rsidP="006F698A">
            <w:pPr>
              <w:pStyle w:val="TableContents"/>
              <w:rPr>
                <w:rFonts w:asciiTheme="minorHAnsi" w:hAnsiTheme="minorHAnsi"/>
                <w:iCs/>
                <w:sz w:val="22"/>
              </w:rPr>
            </w:pPr>
          </w:p>
          <w:p w14:paraId="5C9BB78D" w14:textId="77777777" w:rsidR="00AB3C88" w:rsidRPr="00F61FCD" w:rsidRDefault="00AB3C88" w:rsidP="006F698A">
            <w:pPr>
              <w:pStyle w:val="TableContents"/>
              <w:rPr>
                <w:rFonts w:asciiTheme="minorHAnsi" w:hAnsiTheme="minorHAnsi"/>
                <w:b/>
                <w:iCs/>
                <w:sz w:val="22"/>
              </w:rPr>
            </w:pPr>
            <w:r w:rsidRPr="00F61FCD">
              <w:rPr>
                <w:rFonts w:asciiTheme="minorHAnsi" w:hAnsiTheme="minorHAnsi"/>
                <w:b/>
                <w:iCs/>
                <w:sz w:val="22"/>
              </w:rPr>
              <w:t>Lesson 5</w:t>
            </w:r>
          </w:p>
          <w:p w14:paraId="5CDD790F" w14:textId="77777777" w:rsidR="00AB3C88" w:rsidRPr="00F61FCD" w:rsidRDefault="00AB3C88" w:rsidP="006F698A">
            <w:pPr>
              <w:pStyle w:val="TableContents"/>
              <w:rPr>
                <w:rFonts w:asciiTheme="minorHAnsi" w:hAnsiTheme="minorHAnsi"/>
                <w:iCs/>
                <w:sz w:val="22"/>
              </w:rPr>
            </w:pPr>
            <w:r w:rsidRPr="00F61FCD">
              <w:rPr>
                <w:rFonts w:asciiTheme="minorHAnsi" w:hAnsiTheme="minorHAnsi"/>
                <w:iCs/>
                <w:sz w:val="22"/>
              </w:rPr>
              <w:t xml:space="preserve">Learning Objective- To continue to develop performance and ensemble skills. </w:t>
            </w:r>
          </w:p>
          <w:p w14:paraId="377A1050" w14:textId="77777777" w:rsidR="00AB3C88" w:rsidRPr="00F61FCD" w:rsidRDefault="00AB3C88" w:rsidP="006F698A">
            <w:pPr>
              <w:pStyle w:val="TableContents"/>
              <w:rPr>
                <w:rFonts w:asciiTheme="minorHAnsi" w:hAnsiTheme="minorHAnsi"/>
                <w:iCs/>
                <w:sz w:val="22"/>
              </w:rPr>
            </w:pPr>
            <w:r w:rsidRPr="00F61FCD">
              <w:rPr>
                <w:rFonts w:asciiTheme="minorHAnsi" w:hAnsiTheme="minorHAnsi"/>
                <w:iCs/>
                <w:sz w:val="22"/>
              </w:rPr>
              <w:t>Success Criteria- X FACTOR- students to watch performances from X Factor and SWOT analyse the performance</w:t>
            </w:r>
            <w:r w:rsidR="00F61FCD">
              <w:rPr>
                <w:rFonts w:asciiTheme="minorHAnsi" w:hAnsiTheme="minorHAnsi"/>
                <w:iCs/>
                <w:sz w:val="22"/>
              </w:rPr>
              <w:t>s</w:t>
            </w:r>
            <w:r w:rsidRPr="00F61FCD">
              <w:rPr>
                <w:rFonts w:asciiTheme="minorHAnsi" w:hAnsiTheme="minorHAnsi"/>
                <w:iCs/>
                <w:sz w:val="22"/>
              </w:rPr>
              <w:t xml:space="preserve">. Student to use their findings to help them understand the rehearsal process. Students are to be introduced to the green screen and Roland V3. </w:t>
            </w:r>
          </w:p>
          <w:p w14:paraId="60D09B10" w14:textId="77777777" w:rsidR="00AB3C88" w:rsidRPr="00F61FCD" w:rsidRDefault="00AB3C88" w:rsidP="006F698A">
            <w:pPr>
              <w:pStyle w:val="TableContents"/>
              <w:rPr>
                <w:rFonts w:asciiTheme="minorHAnsi" w:hAnsiTheme="minorHAnsi"/>
                <w:iCs/>
                <w:sz w:val="22"/>
              </w:rPr>
            </w:pPr>
          </w:p>
          <w:p w14:paraId="3DD99206" w14:textId="77777777" w:rsidR="00AB3C88" w:rsidRPr="00F61FCD" w:rsidRDefault="00AB3C88" w:rsidP="006F698A">
            <w:pPr>
              <w:pStyle w:val="TableContents"/>
              <w:rPr>
                <w:rFonts w:asciiTheme="minorHAnsi" w:hAnsiTheme="minorHAnsi"/>
                <w:b/>
                <w:iCs/>
                <w:sz w:val="22"/>
              </w:rPr>
            </w:pPr>
            <w:r w:rsidRPr="00F61FCD">
              <w:rPr>
                <w:rFonts w:asciiTheme="minorHAnsi" w:hAnsiTheme="minorHAnsi"/>
                <w:b/>
                <w:iCs/>
                <w:sz w:val="22"/>
              </w:rPr>
              <w:t>Lesson 6</w:t>
            </w:r>
          </w:p>
          <w:p w14:paraId="5EC3C885" w14:textId="77777777" w:rsidR="00AB3C88" w:rsidRPr="00F61FCD" w:rsidRDefault="00AB3C88" w:rsidP="006F698A">
            <w:pPr>
              <w:pStyle w:val="TableContents"/>
              <w:rPr>
                <w:rFonts w:asciiTheme="minorHAnsi" w:hAnsiTheme="minorHAnsi"/>
                <w:iCs/>
                <w:sz w:val="22"/>
              </w:rPr>
            </w:pPr>
            <w:r w:rsidRPr="00F61FCD">
              <w:rPr>
                <w:rFonts w:asciiTheme="minorHAnsi" w:hAnsiTheme="minorHAnsi"/>
                <w:iCs/>
                <w:sz w:val="22"/>
              </w:rPr>
              <w:t>Learning Objective- To develop an understanding of the use of recording technologies in the production of music.</w:t>
            </w:r>
          </w:p>
          <w:p w14:paraId="17F07614" w14:textId="77777777" w:rsidR="00AB3C88" w:rsidRPr="00F61FCD" w:rsidRDefault="00AB3C88" w:rsidP="006F698A">
            <w:pPr>
              <w:pStyle w:val="TableContents"/>
              <w:rPr>
                <w:rFonts w:asciiTheme="minorHAnsi" w:hAnsiTheme="minorHAnsi"/>
                <w:iCs/>
                <w:sz w:val="22"/>
              </w:rPr>
            </w:pPr>
            <w:r w:rsidRPr="00F61FCD">
              <w:rPr>
                <w:rFonts w:asciiTheme="minorHAnsi" w:hAnsiTheme="minorHAnsi"/>
                <w:iCs/>
                <w:sz w:val="22"/>
              </w:rPr>
              <w:t xml:space="preserve">Success Criteria- Students to perform their versions of Don’t Stop Believing. </w:t>
            </w:r>
            <w:r w:rsidRPr="00F61FCD">
              <w:rPr>
                <w:rFonts w:asciiTheme="minorHAnsi" w:hAnsiTheme="minorHAnsi"/>
                <w:iCs/>
                <w:sz w:val="22"/>
              </w:rPr>
              <w:lastRenderedPageBreak/>
              <w:t>Recording and analysing their performances using the Roland V3</w:t>
            </w:r>
          </w:p>
          <w:p w14:paraId="7EEE95FC" w14:textId="77777777" w:rsidR="00AB3C88" w:rsidRPr="00F61FCD" w:rsidRDefault="00AB3C88" w:rsidP="006F698A">
            <w:pPr>
              <w:pStyle w:val="TableContents"/>
              <w:rPr>
                <w:rFonts w:asciiTheme="minorHAnsi" w:hAnsiTheme="minorHAnsi"/>
                <w:iCs/>
                <w:sz w:val="22"/>
              </w:rPr>
            </w:pPr>
          </w:p>
          <w:p w14:paraId="21FCD1A5" w14:textId="77777777" w:rsidR="00AB3C88" w:rsidRPr="00F61FCD" w:rsidRDefault="00AB3C88" w:rsidP="006F698A">
            <w:pPr>
              <w:pStyle w:val="TableContents"/>
              <w:rPr>
                <w:rFonts w:asciiTheme="minorHAnsi" w:hAnsiTheme="minorHAnsi"/>
                <w:b/>
                <w:iCs/>
                <w:sz w:val="22"/>
              </w:rPr>
            </w:pPr>
            <w:r w:rsidRPr="00F61FCD">
              <w:rPr>
                <w:rFonts w:asciiTheme="minorHAnsi" w:hAnsiTheme="minorHAnsi"/>
                <w:b/>
                <w:iCs/>
                <w:sz w:val="22"/>
              </w:rPr>
              <w:t>Lesson 7</w:t>
            </w:r>
          </w:p>
          <w:p w14:paraId="7B036C66" w14:textId="77777777" w:rsidR="00AB3C88" w:rsidRPr="00F61FCD" w:rsidRDefault="00AB3C88" w:rsidP="006F698A">
            <w:pPr>
              <w:pStyle w:val="TableContents"/>
              <w:rPr>
                <w:rFonts w:asciiTheme="minorHAnsi" w:hAnsiTheme="minorHAnsi"/>
                <w:iCs/>
                <w:sz w:val="22"/>
              </w:rPr>
            </w:pPr>
            <w:r w:rsidRPr="00F61FCD">
              <w:rPr>
                <w:rFonts w:asciiTheme="minorHAnsi" w:hAnsiTheme="minorHAnsi"/>
                <w:iCs/>
                <w:sz w:val="22"/>
              </w:rPr>
              <w:t>Learning Objective- To develop an understanding of the editing process. To assess their final product, setting musical targets for development</w:t>
            </w:r>
            <w:r w:rsidR="00F61FCD" w:rsidRPr="00F61FCD">
              <w:rPr>
                <w:rFonts w:asciiTheme="minorHAnsi" w:hAnsiTheme="minorHAnsi"/>
                <w:iCs/>
                <w:sz w:val="22"/>
              </w:rPr>
              <w:t>.</w:t>
            </w:r>
          </w:p>
          <w:p w14:paraId="4D626D81" w14:textId="77777777" w:rsidR="00F61FCD" w:rsidRDefault="00F61FCD" w:rsidP="006F698A">
            <w:pPr>
              <w:pStyle w:val="TableContents"/>
              <w:rPr>
                <w:rFonts w:asciiTheme="minorHAnsi" w:hAnsiTheme="minorHAnsi"/>
                <w:iCs/>
                <w:sz w:val="22"/>
              </w:rPr>
            </w:pPr>
            <w:r w:rsidRPr="00F61FCD">
              <w:rPr>
                <w:rFonts w:asciiTheme="minorHAnsi" w:hAnsiTheme="minorHAnsi"/>
                <w:iCs/>
                <w:sz w:val="22"/>
              </w:rPr>
              <w:t xml:space="preserve">Success Criteria- Students to edit their videos and to give feedback to each other. </w:t>
            </w:r>
          </w:p>
          <w:p w14:paraId="540FCFCB" w14:textId="77777777" w:rsidR="00F61FCD" w:rsidRDefault="00F61FCD" w:rsidP="006F698A">
            <w:pPr>
              <w:pStyle w:val="TableContents"/>
              <w:rPr>
                <w:rFonts w:asciiTheme="minorHAnsi" w:hAnsiTheme="minorHAnsi"/>
                <w:iCs/>
                <w:sz w:val="22"/>
              </w:rPr>
            </w:pPr>
          </w:p>
          <w:p w14:paraId="7DA38818" w14:textId="77777777" w:rsidR="00F61FCD" w:rsidRDefault="00F61FCD" w:rsidP="006F698A">
            <w:pPr>
              <w:pStyle w:val="TableContents"/>
              <w:rPr>
                <w:rFonts w:asciiTheme="minorHAnsi" w:hAnsiTheme="minorHAnsi"/>
                <w:iCs/>
                <w:sz w:val="22"/>
              </w:rPr>
            </w:pPr>
            <w:r>
              <w:rPr>
                <w:rFonts w:asciiTheme="minorHAnsi" w:hAnsiTheme="minorHAnsi"/>
                <w:iCs/>
                <w:sz w:val="22"/>
              </w:rPr>
              <w:t>Throughout the sequence of lessons, students were given opportunities to record and watch their performances. Student were encouraged to give critical feedback</w:t>
            </w:r>
          </w:p>
          <w:p w14:paraId="05A8E966" w14:textId="77777777" w:rsidR="00F61FCD" w:rsidRDefault="00F61FCD" w:rsidP="006F698A">
            <w:pPr>
              <w:pStyle w:val="TableContents"/>
              <w:rPr>
                <w:rFonts w:asciiTheme="minorHAnsi" w:hAnsiTheme="minorHAnsi"/>
                <w:iCs/>
                <w:sz w:val="22"/>
              </w:rPr>
            </w:pPr>
          </w:p>
          <w:p w14:paraId="3C0E9817" w14:textId="77777777" w:rsidR="00F61FCD" w:rsidRPr="00F61FCD" w:rsidRDefault="00F61FCD" w:rsidP="006F698A">
            <w:pPr>
              <w:pStyle w:val="TableContents"/>
              <w:rPr>
                <w:rFonts w:asciiTheme="minorHAnsi" w:hAnsiTheme="minorHAnsi"/>
                <w:iCs/>
                <w:sz w:val="22"/>
              </w:rPr>
            </w:pPr>
          </w:p>
        </w:tc>
      </w:tr>
      <w:tr w:rsidR="006F698A" w:rsidRPr="00F61FCD" w14:paraId="69D5502E" w14:textId="77777777" w:rsidTr="00F61FCD">
        <w:tc>
          <w:tcPr>
            <w:tcW w:w="2455" w:type="dxa"/>
            <w:tcBorders>
              <w:left w:val="single" w:sz="1" w:space="0" w:color="000000"/>
              <w:bottom w:val="single" w:sz="1" w:space="0" w:color="000000"/>
            </w:tcBorders>
            <w:shd w:val="clear" w:color="auto" w:fill="auto"/>
          </w:tcPr>
          <w:p w14:paraId="3062AA6F" w14:textId="77777777" w:rsidR="006F698A" w:rsidRPr="00F61FCD" w:rsidRDefault="006F698A" w:rsidP="006F698A">
            <w:pPr>
              <w:pStyle w:val="TableContents"/>
              <w:snapToGrid w:val="0"/>
              <w:rPr>
                <w:rFonts w:asciiTheme="minorHAnsi" w:hAnsiTheme="minorHAnsi"/>
                <w:b/>
                <w:bCs/>
                <w:sz w:val="22"/>
              </w:rPr>
            </w:pPr>
            <w:r w:rsidRPr="00F61FCD">
              <w:rPr>
                <w:rFonts w:asciiTheme="minorHAnsi" w:hAnsiTheme="minorHAnsi"/>
                <w:b/>
                <w:bCs/>
                <w:sz w:val="22"/>
              </w:rPr>
              <w:lastRenderedPageBreak/>
              <w:t>Outcomes</w:t>
            </w:r>
          </w:p>
        </w:tc>
        <w:tc>
          <w:tcPr>
            <w:tcW w:w="7183" w:type="dxa"/>
            <w:tcBorders>
              <w:left w:val="single" w:sz="1" w:space="0" w:color="000000"/>
              <w:bottom w:val="single" w:sz="1" w:space="0" w:color="000000"/>
              <w:right w:val="single" w:sz="1" w:space="0" w:color="000000"/>
            </w:tcBorders>
            <w:shd w:val="clear" w:color="auto" w:fill="auto"/>
          </w:tcPr>
          <w:p w14:paraId="543129B5" w14:textId="77777777" w:rsidR="00C1715F" w:rsidRPr="00F61FCD" w:rsidRDefault="00D06B41" w:rsidP="00E25FAC">
            <w:pPr>
              <w:pStyle w:val="TableContents"/>
              <w:rPr>
                <w:rFonts w:asciiTheme="minorHAnsi" w:hAnsiTheme="minorHAnsi"/>
                <w:iCs/>
                <w:sz w:val="22"/>
              </w:rPr>
            </w:pPr>
            <w:r w:rsidRPr="00F61FCD">
              <w:rPr>
                <w:rFonts w:asciiTheme="minorHAnsi" w:hAnsiTheme="minorHAnsi"/>
                <w:iCs/>
                <w:sz w:val="22"/>
              </w:rPr>
              <w:t>The department found the use of the Roland VR3 to have positive effect on the stu</w:t>
            </w:r>
            <w:r w:rsidR="00E25FAC" w:rsidRPr="00F61FCD">
              <w:rPr>
                <w:rFonts w:asciiTheme="minorHAnsi" w:hAnsiTheme="minorHAnsi"/>
                <w:iCs/>
                <w:sz w:val="22"/>
              </w:rPr>
              <w:t>d</w:t>
            </w:r>
            <w:r w:rsidRPr="00F61FCD">
              <w:rPr>
                <w:rFonts w:asciiTheme="minorHAnsi" w:hAnsiTheme="minorHAnsi"/>
                <w:iCs/>
                <w:sz w:val="22"/>
              </w:rPr>
              <w:t xml:space="preserve">ents’ engagement and achievement. </w:t>
            </w:r>
            <w:r w:rsidR="00E25FAC" w:rsidRPr="00F61FCD">
              <w:rPr>
                <w:rFonts w:asciiTheme="minorHAnsi" w:hAnsiTheme="minorHAnsi"/>
                <w:iCs/>
                <w:sz w:val="22"/>
              </w:rPr>
              <w:t xml:space="preserve">Students found the increase in </w:t>
            </w:r>
            <w:r w:rsidR="00C1715F" w:rsidRPr="00F61FCD">
              <w:rPr>
                <w:rFonts w:asciiTheme="minorHAnsi" w:hAnsiTheme="minorHAnsi"/>
                <w:iCs/>
                <w:sz w:val="22"/>
              </w:rPr>
              <w:t xml:space="preserve">final assessment gave a greater importance to the practice time during the lessons. The use of the preview screen on the Roland VR3 allowed students to assess the quality of their performance, allowing students to discuss improvements and strength.  Students felt more comfortable using musical terminology when giving feedback. </w:t>
            </w:r>
          </w:p>
          <w:p w14:paraId="7D19E63B" w14:textId="77777777" w:rsidR="00C1715F" w:rsidRPr="00F61FCD" w:rsidRDefault="00C1715F" w:rsidP="00E25FAC">
            <w:pPr>
              <w:pStyle w:val="TableContents"/>
              <w:rPr>
                <w:rFonts w:asciiTheme="minorHAnsi" w:hAnsiTheme="minorHAnsi"/>
                <w:iCs/>
                <w:sz w:val="22"/>
              </w:rPr>
            </w:pPr>
          </w:p>
          <w:p w14:paraId="65A271B3" w14:textId="77777777" w:rsidR="00C1715F" w:rsidRPr="00F61FCD" w:rsidRDefault="00C1715F" w:rsidP="00E25FAC">
            <w:pPr>
              <w:pStyle w:val="TableContents"/>
              <w:rPr>
                <w:rFonts w:asciiTheme="minorHAnsi" w:hAnsiTheme="minorHAnsi"/>
                <w:iCs/>
                <w:sz w:val="22"/>
              </w:rPr>
            </w:pPr>
            <w:r w:rsidRPr="00F61FCD">
              <w:rPr>
                <w:rFonts w:asciiTheme="minorHAnsi" w:hAnsiTheme="minorHAnsi"/>
                <w:iCs/>
                <w:sz w:val="22"/>
              </w:rPr>
              <w:t xml:space="preserve">After analysing the assessment data it was clear that there was a significant improvement with the students who took part in the project and also a narrowing of the gap between boys and girls achievement. </w:t>
            </w:r>
          </w:p>
          <w:p w14:paraId="23F0BB11" w14:textId="77777777" w:rsidR="00C1715F" w:rsidRPr="00F61FCD" w:rsidRDefault="00C1715F" w:rsidP="00E25FAC">
            <w:pPr>
              <w:pStyle w:val="TableContents"/>
              <w:rPr>
                <w:rFonts w:asciiTheme="minorHAnsi" w:hAnsiTheme="minorHAnsi"/>
                <w:iCs/>
                <w:sz w:val="22"/>
              </w:rPr>
            </w:pPr>
          </w:p>
          <w:p w14:paraId="65454940" w14:textId="77777777" w:rsidR="00C1715F" w:rsidRPr="00F61FCD" w:rsidRDefault="00C1715F" w:rsidP="00E25FAC">
            <w:pPr>
              <w:pStyle w:val="TableContents"/>
              <w:rPr>
                <w:rFonts w:asciiTheme="minorHAnsi" w:hAnsiTheme="minorHAnsi"/>
                <w:iCs/>
                <w:sz w:val="22"/>
              </w:rPr>
            </w:pPr>
            <w:r w:rsidRPr="00F61FCD">
              <w:rPr>
                <w:rFonts w:asciiTheme="minorHAnsi" w:hAnsiTheme="minorHAnsi"/>
                <w:iCs/>
                <w:sz w:val="22"/>
              </w:rPr>
              <w:t xml:space="preserve">In conclusion, we found the creative use of the Roland V3 has seen significant improvements professional look of the school concerts and productions. The use of the Roland V3 in a classroom environment has seen a positive effect on the approach to assessment and the feedback that the students are giving. </w:t>
            </w:r>
          </w:p>
          <w:p w14:paraId="2E18006E" w14:textId="77777777" w:rsidR="006F698A" w:rsidRPr="00F61FCD" w:rsidRDefault="00C1715F" w:rsidP="00E25FAC">
            <w:pPr>
              <w:pStyle w:val="TableContents"/>
              <w:rPr>
                <w:rFonts w:asciiTheme="minorHAnsi" w:hAnsiTheme="minorHAnsi"/>
                <w:iCs/>
                <w:sz w:val="22"/>
              </w:rPr>
            </w:pPr>
            <w:r w:rsidRPr="00F61FCD">
              <w:rPr>
                <w:rFonts w:asciiTheme="minorHAnsi" w:hAnsiTheme="minorHAnsi"/>
                <w:iCs/>
                <w:sz w:val="22"/>
              </w:rPr>
              <w:t xml:space="preserve"> </w:t>
            </w:r>
          </w:p>
        </w:tc>
      </w:tr>
    </w:tbl>
    <w:p w14:paraId="3771D4D8" w14:textId="77777777" w:rsidR="000F36CF" w:rsidRDefault="000F36CF">
      <w:bookmarkStart w:id="0" w:name="_GoBack"/>
      <w:bookmarkEnd w:id="0"/>
    </w:p>
    <w:sectPr w:rsidR="000F3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67660384"/>
    <w:multiLevelType w:val="hybridMultilevel"/>
    <w:tmpl w:val="04EE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752AF5"/>
    <w:multiLevelType w:val="hybridMultilevel"/>
    <w:tmpl w:val="69E8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CF"/>
    <w:rsid w:val="000F36CF"/>
    <w:rsid w:val="0011058C"/>
    <w:rsid w:val="00662877"/>
    <w:rsid w:val="006D6B1C"/>
    <w:rsid w:val="006F698A"/>
    <w:rsid w:val="009A4B9E"/>
    <w:rsid w:val="00AB3C88"/>
    <w:rsid w:val="00B23555"/>
    <w:rsid w:val="00C1715F"/>
    <w:rsid w:val="00D06B41"/>
    <w:rsid w:val="00E25FAC"/>
    <w:rsid w:val="00E87FFC"/>
    <w:rsid w:val="00F61FCD"/>
    <w:rsid w:val="00F636BB"/>
    <w:rsid w:val="00F933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F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CF"/>
    <w:pPr>
      <w:ind w:left="720"/>
      <w:contextualSpacing/>
    </w:pPr>
  </w:style>
  <w:style w:type="paragraph" w:customStyle="1" w:styleId="TableContents">
    <w:name w:val="Table Contents"/>
    <w:basedOn w:val="Normal"/>
    <w:rsid w:val="006F698A"/>
    <w:pPr>
      <w:widowControl w:val="0"/>
      <w:suppressLineNumbers/>
      <w:suppressAutoHyphens/>
      <w:spacing w:after="0" w:line="240" w:lineRule="auto"/>
    </w:pPr>
    <w:rPr>
      <w:rFonts w:ascii="Times New Roman" w:eastAsia="Tahoma" w:hAnsi="Times New Roman" w:cs="Arial"/>
      <w:kern w:val="1"/>
      <w:sz w:val="24"/>
      <w:szCs w:val="24"/>
      <w:lang w:eastAsia="hi-IN" w:bidi="hi-IN"/>
    </w:rPr>
  </w:style>
  <w:style w:type="paragraph" w:styleId="BalloonText">
    <w:name w:val="Balloon Text"/>
    <w:basedOn w:val="Normal"/>
    <w:link w:val="BalloonTextChar"/>
    <w:uiPriority w:val="99"/>
    <w:semiHidden/>
    <w:unhideWhenUsed/>
    <w:rsid w:val="006F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98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CF"/>
    <w:pPr>
      <w:ind w:left="720"/>
      <w:contextualSpacing/>
    </w:pPr>
  </w:style>
  <w:style w:type="paragraph" w:customStyle="1" w:styleId="TableContents">
    <w:name w:val="Table Contents"/>
    <w:basedOn w:val="Normal"/>
    <w:rsid w:val="006F698A"/>
    <w:pPr>
      <w:widowControl w:val="0"/>
      <w:suppressLineNumbers/>
      <w:suppressAutoHyphens/>
      <w:spacing w:after="0" w:line="240" w:lineRule="auto"/>
    </w:pPr>
    <w:rPr>
      <w:rFonts w:ascii="Times New Roman" w:eastAsia="Tahoma" w:hAnsi="Times New Roman" w:cs="Arial"/>
      <w:kern w:val="1"/>
      <w:sz w:val="24"/>
      <w:szCs w:val="24"/>
      <w:lang w:eastAsia="hi-IN" w:bidi="hi-IN"/>
    </w:rPr>
  </w:style>
  <w:style w:type="paragraph" w:styleId="BalloonText">
    <w:name w:val="Balloon Text"/>
    <w:basedOn w:val="Normal"/>
    <w:link w:val="BalloonTextChar"/>
    <w:uiPriority w:val="99"/>
    <w:semiHidden/>
    <w:unhideWhenUsed/>
    <w:rsid w:val="006F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E93E9-5DF5-574E-BE76-5681C409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1136</Words>
  <Characters>6481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Pavey, Mr P</dc:creator>
  <cp:lastModifiedBy>Jonathan Savage</cp:lastModifiedBy>
  <cp:revision>4</cp:revision>
  <dcterms:created xsi:type="dcterms:W3CDTF">2013-05-23T09:16:00Z</dcterms:created>
  <dcterms:modified xsi:type="dcterms:W3CDTF">2013-11-07T14:53:00Z</dcterms:modified>
</cp:coreProperties>
</file>